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16B" w:rsidRPr="00E044E5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Exemptions u/s </w:t>
      </w:r>
      <w:proofErr w:type="gramStart"/>
      <w:r w:rsidRPr="00E044E5">
        <w:rPr>
          <w:rFonts w:ascii="Arial" w:hAnsi="Arial" w:cs="Arial"/>
          <w:b/>
          <w:color w:val="231F20"/>
          <w:sz w:val="24"/>
          <w:szCs w:val="24"/>
        </w:rPr>
        <w:t>10 :</w:t>
      </w:r>
      <w:proofErr w:type="gramEnd"/>
    </w:p>
    <w:p w:rsidR="0024716B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4716B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E044E5">
        <w:rPr>
          <w:rFonts w:ascii="Arial" w:hAnsi="Arial" w:cs="Arial"/>
          <w:color w:val="231F20"/>
          <w:sz w:val="24"/>
          <w:szCs w:val="24"/>
        </w:rPr>
        <w:t>(</w:t>
      </w:r>
      <w:r w:rsidRPr="00E044E5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E044E5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E044E5">
        <w:rPr>
          <w:rFonts w:ascii="Arial" w:hAnsi="Arial" w:cs="Arial"/>
          <w:color w:val="231F20"/>
          <w:sz w:val="24"/>
          <w:szCs w:val="24"/>
        </w:rPr>
        <w:t xml:space="preserve"> clause (</w:t>
      </w:r>
      <w:r w:rsidRPr="00E044E5">
        <w:rPr>
          <w:rFonts w:ascii="Arial" w:hAnsi="Arial" w:cs="Arial"/>
          <w:i/>
          <w:iCs/>
          <w:color w:val="231F20"/>
          <w:sz w:val="24"/>
          <w:szCs w:val="24"/>
        </w:rPr>
        <w:t>23FB</w:t>
      </w:r>
      <w:r w:rsidRPr="00E044E5">
        <w:rPr>
          <w:rFonts w:ascii="Arial" w:hAnsi="Arial" w:cs="Arial"/>
          <w:color w:val="231F20"/>
          <w:sz w:val="24"/>
          <w:szCs w:val="24"/>
        </w:rPr>
        <w:t>), the following clauses shall be inserted, namely:––</w:t>
      </w:r>
    </w:p>
    <w:p w:rsidR="0024716B" w:rsidRPr="00E044E5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4716B" w:rsidRPr="00E044E5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E044E5">
        <w:rPr>
          <w:rFonts w:ascii="Arial" w:hAnsi="Arial" w:cs="Arial"/>
          <w:b/>
          <w:color w:val="231F20"/>
          <w:sz w:val="24"/>
          <w:szCs w:val="24"/>
        </w:rPr>
        <w:t>‘(</w:t>
      </w:r>
      <w:r w:rsidRPr="00E044E5">
        <w:rPr>
          <w:rFonts w:ascii="Arial" w:hAnsi="Arial" w:cs="Arial"/>
          <w:b/>
          <w:i/>
          <w:iCs/>
          <w:color w:val="231F20"/>
          <w:sz w:val="24"/>
          <w:szCs w:val="24"/>
        </w:rPr>
        <w:t>23FC</w:t>
      </w:r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) any </w:t>
      </w:r>
      <w:proofErr w:type="gramStart"/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income of a </w:t>
      </w:r>
      <w:r w:rsidRPr="00E044E5">
        <w:rPr>
          <w:rFonts w:ascii="Arial" w:hAnsi="Arial" w:cs="Arial"/>
          <w:b/>
          <w:color w:val="231F20"/>
          <w:sz w:val="24"/>
          <w:szCs w:val="24"/>
          <w:u w:val="single"/>
        </w:rPr>
        <w:t>business trust</w:t>
      </w:r>
      <w:proofErr w:type="gramEnd"/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 by way of interest received or receivable from a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b/>
          <w:color w:val="231F20"/>
          <w:sz w:val="24"/>
          <w:szCs w:val="24"/>
        </w:rPr>
        <w:t>special purpose vehicle.</w:t>
      </w:r>
    </w:p>
    <w:p w:rsidR="0024716B" w:rsidRPr="00E044E5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4716B" w:rsidRPr="00E044E5" w:rsidRDefault="0024716B" w:rsidP="002471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E044E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.—For the purposes of this clause, the expression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“special purpose vehicle”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means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an </w:t>
      </w:r>
      <w:r w:rsidRPr="00E044E5">
        <w:rPr>
          <w:rFonts w:ascii="Arial" w:hAnsi="Arial" w:cs="Arial"/>
          <w:b/>
          <w:color w:val="231F20"/>
          <w:sz w:val="24"/>
          <w:szCs w:val="24"/>
        </w:rPr>
        <w:t>Indian company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in which the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business trust holds controlling interest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and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any specific percentage of shareholding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or interest, as may be required by the regulations under which such trust is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>granted registration;</w:t>
      </w:r>
    </w:p>
    <w:p w:rsidR="005015BD" w:rsidRDefault="005015BD"/>
    <w:p w:rsid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b/>
          <w:color w:val="231F20"/>
          <w:sz w:val="24"/>
          <w:szCs w:val="24"/>
        </w:rPr>
        <w:t>(</w:t>
      </w:r>
      <w:r w:rsidRPr="00341505">
        <w:rPr>
          <w:rFonts w:ascii="Arial" w:hAnsi="Arial" w:cs="Arial"/>
          <w:b/>
          <w:i/>
          <w:iCs/>
          <w:color w:val="231F20"/>
          <w:sz w:val="24"/>
          <w:szCs w:val="24"/>
        </w:rPr>
        <w:t>23FD</w:t>
      </w:r>
      <w:r w:rsidRPr="00341505">
        <w:rPr>
          <w:rFonts w:ascii="Arial" w:hAnsi="Arial" w:cs="Arial"/>
          <w:b/>
          <w:color w:val="231F20"/>
          <w:sz w:val="24"/>
          <w:szCs w:val="24"/>
        </w:rPr>
        <w:t>)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b/>
          <w:color w:val="231F20"/>
          <w:sz w:val="24"/>
          <w:szCs w:val="24"/>
        </w:rPr>
        <w:t>any distributed income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, referred to in section 115UA, </w:t>
      </w:r>
      <w:r w:rsidRPr="00341505">
        <w:rPr>
          <w:rFonts w:ascii="Arial" w:hAnsi="Arial" w:cs="Arial"/>
          <w:b/>
          <w:color w:val="231F20"/>
          <w:sz w:val="24"/>
          <w:szCs w:val="24"/>
        </w:rPr>
        <w:t>received by a unit holder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b/>
          <w:color w:val="231F20"/>
          <w:sz w:val="24"/>
          <w:szCs w:val="24"/>
        </w:rPr>
        <w:t>from the business trust</w:t>
      </w:r>
      <w:r w:rsidRPr="00341505">
        <w:rPr>
          <w:rFonts w:ascii="Arial" w:hAnsi="Arial" w:cs="Arial"/>
          <w:color w:val="231F20"/>
          <w:sz w:val="24"/>
          <w:szCs w:val="24"/>
        </w:rPr>
        <w:t>, not being that proportion of the income which is of the same nature as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income referred to in clause 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341505">
        <w:rPr>
          <w:rFonts w:ascii="Arial" w:hAnsi="Arial" w:cs="Arial"/>
          <w:color w:val="231F20"/>
          <w:sz w:val="24"/>
          <w:szCs w:val="24"/>
        </w:rPr>
        <w:t>);’;</w:t>
      </w:r>
    </w:p>
    <w:p w:rsidR="00341505" w:rsidRP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341505" w:rsidRP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c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in</w:t>
      </w:r>
      <w:proofErr w:type="gramEnd"/>
      <w:r w:rsidRPr="00341505">
        <w:rPr>
          <w:rFonts w:ascii="Arial" w:hAnsi="Arial" w:cs="Arial"/>
          <w:color w:val="231F20"/>
          <w:sz w:val="24"/>
          <w:szCs w:val="24"/>
        </w:rPr>
        <w:t xml:space="preserve"> clause </w:t>
      </w:r>
      <w:r w:rsidRPr="00341505">
        <w:rPr>
          <w:rFonts w:ascii="Arial" w:hAnsi="Arial" w:cs="Arial"/>
          <w:b/>
          <w:color w:val="231F20"/>
          <w:sz w:val="24"/>
          <w:szCs w:val="24"/>
        </w:rPr>
        <w:t>(</w:t>
      </w:r>
      <w:r w:rsidRPr="00341505">
        <w:rPr>
          <w:rFonts w:ascii="Arial" w:hAnsi="Arial" w:cs="Arial"/>
          <w:b/>
          <w:i/>
          <w:iCs/>
          <w:color w:val="231F20"/>
          <w:sz w:val="24"/>
          <w:szCs w:val="24"/>
        </w:rPr>
        <w:t>38</w:t>
      </w:r>
      <w:r w:rsidRPr="00341505">
        <w:rPr>
          <w:rFonts w:ascii="Arial" w:hAnsi="Arial" w:cs="Arial"/>
          <w:b/>
          <w:color w:val="231F20"/>
          <w:sz w:val="24"/>
          <w:szCs w:val="24"/>
        </w:rPr>
        <w:t>)</w:t>
      </w:r>
      <w:r w:rsidRPr="00341505">
        <w:rPr>
          <w:rFonts w:ascii="Arial" w:hAnsi="Arial" w:cs="Arial"/>
          <w:color w:val="231F20"/>
          <w:sz w:val="24"/>
          <w:szCs w:val="24"/>
        </w:rPr>
        <w:t>,––</w:t>
      </w:r>
    </w:p>
    <w:p w:rsidR="00341505" w:rsidRP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(</w:t>
      </w:r>
      <w:proofErr w:type="spellStart"/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34150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341505">
        <w:rPr>
          <w:rFonts w:ascii="Arial" w:hAnsi="Arial" w:cs="Arial"/>
          <w:color w:val="231F20"/>
          <w:sz w:val="24"/>
          <w:szCs w:val="24"/>
        </w:rPr>
        <w:t xml:space="preserve"> the words “unit of an equity oriented fund”, the words “or a unit of a business trust”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shall be inserted;</w:t>
      </w:r>
    </w:p>
    <w:p w:rsid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341505" w:rsidRP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ii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341505">
        <w:rPr>
          <w:rFonts w:ascii="Arial" w:hAnsi="Arial" w:cs="Arial"/>
          <w:color w:val="231F20"/>
          <w:sz w:val="24"/>
          <w:szCs w:val="24"/>
        </w:rPr>
        <w:t xml:space="preserve"> the proviso but before the 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341505">
        <w:rPr>
          <w:rFonts w:ascii="Arial" w:hAnsi="Arial" w:cs="Arial"/>
          <w:color w:val="231F20"/>
          <w:sz w:val="24"/>
          <w:szCs w:val="24"/>
        </w:rPr>
        <w:t>, the following proviso shall be inserted, namely:––</w:t>
      </w:r>
    </w:p>
    <w:p w:rsidR="00341505" w:rsidRPr="00341505" w:rsidRDefault="00341505" w:rsidP="003415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“Provided further that the provisions of this clause shall not apply in respect of any income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arising from transfer of units of a business trust which were acquired in consideration of a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transfer referred to in clause 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341505">
        <w:rPr>
          <w:rFonts w:ascii="Arial" w:hAnsi="Arial" w:cs="Arial"/>
          <w:color w:val="231F20"/>
          <w:sz w:val="24"/>
          <w:szCs w:val="24"/>
        </w:rPr>
        <w:t>) of section 47.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sectPr w:rsidR="00341505" w:rsidRPr="00341505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24716B"/>
    <w:rsid w:val="0024716B"/>
    <w:rsid w:val="00341505"/>
    <w:rsid w:val="005015BD"/>
    <w:rsid w:val="00D5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3</cp:revision>
  <dcterms:created xsi:type="dcterms:W3CDTF">2014-07-16T06:27:00Z</dcterms:created>
  <dcterms:modified xsi:type="dcterms:W3CDTF">2014-07-16T09:55:00Z</dcterms:modified>
</cp:coreProperties>
</file>